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2D" w:rsidRDefault="00BD572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572D" w:rsidRDefault="00BD572D">
      <w:pPr>
        <w:pStyle w:val="ConsPlusNormal"/>
        <w:jc w:val="both"/>
        <w:outlineLvl w:val="0"/>
      </w:pPr>
    </w:p>
    <w:p w:rsidR="00BD572D" w:rsidRDefault="00BD572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572D" w:rsidRDefault="00BD572D">
      <w:pPr>
        <w:pStyle w:val="ConsPlusTitle"/>
        <w:jc w:val="center"/>
      </w:pPr>
    </w:p>
    <w:p w:rsidR="00BD572D" w:rsidRDefault="00BD572D">
      <w:pPr>
        <w:pStyle w:val="ConsPlusTitle"/>
        <w:jc w:val="center"/>
      </w:pPr>
      <w:r>
        <w:t>ПОСТАНОВЛЕНИЕ</w:t>
      </w:r>
    </w:p>
    <w:p w:rsidR="00BD572D" w:rsidRDefault="00BD572D">
      <w:pPr>
        <w:pStyle w:val="ConsPlusTitle"/>
        <w:jc w:val="center"/>
      </w:pPr>
      <w:r>
        <w:t>от 23 декабря 2024 г. N 1873</w:t>
      </w:r>
    </w:p>
    <w:p w:rsidR="00BD572D" w:rsidRDefault="00BD572D">
      <w:pPr>
        <w:pStyle w:val="ConsPlusTitle"/>
        <w:jc w:val="center"/>
      </w:pPr>
    </w:p>
    <w:p w:rsidR="00BD572D" w:rsidRDefault="00BD572D">
      <w:pPr>
        <w:pStyle w:val="ConsPlusTitle"/>
        <w:jc w:val="center"/>
      </w:pPr>
      <w:r>
        <w:t>ОБ УТВЕРЖДЕНИИ ПРАВИЛ</w:t>
      </w:r>
    </w:p>
    <w:p w:rsidR="00BD572D" w:rsidRDefault="00BD572D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BD572D" w:rsidRDefault="00BD572D">
      <w:pPr>
        <w:pStyle w:val="ConsPlusTitle"/>
        <w:jc w:val="center"/>
      </w:pPr>
      <w:r>
        <w:t>СОЦИАЛЬНЫХ УСЛУГ БЕСПЛАТНО</w:t>
      </w:r>
    </w:p>
    <w:p w:rsidR="00BD572D" w:rsidRDefault="00BD572D">
      <w:pPr>
        <w:pStyle w:val="ConsPlusNormal"/>
        <w:jc w:val="center"/>
      </w:pPr>
    </w:p>
    <w:p w:rsidR="00BD572D" w:rsidRDefault="00BD572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33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D572D" w:rsidRDefault="00BD572D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 43, ст. 5910);</w:t>
      </w:r>
    </w:p>
    <w:p w:rsidR="00BD572D" w:rsidRDefault="00BD572D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февраля 2020 г. N 174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 8, ст. 1035);</w:t>
      </w:r>
    </w:p>
    <w:p w:rsidR="00BD572D" w:rsidRDefault="00BD572D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49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мая 2020 г. N 723 "О внесении изменений в некоторые акты Правительства Российской Федерации" (Собрание законодательства Российской Федерации, 2020, N 22, ст. 3491);</w:t>
      </w:r>
    </w:p>
    <w:p w:rsidR="00BD572D" w:rsidRDefault="00BD572D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октября 2021 г. N 1876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 45, ст. 7526).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г.</w:t>
      </w: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jc w:val="right"/>
      </w:pPr>
      <w:r>
        <w:t>Председатель Правительства</w:t>
      </w:r>
    </w:p>
    <w:p w:rsidR="00BD572D" w:rsidRDefault="00BD572D">
      <w:pPr>
        <w:pStyle w:val="ConsPlusNormal"/>
        <w:jc w:val="right"/>
      </w:pPr>
      <w:r>
        <w:t>Российской Федерации</w:t>
      </w:r>
    </w:p>
    <w:p w:rsidR="00BD572D" w:rsidRDefault="00BD572D">
      <w:pPr>
        <w:pStyle w:val="ConsPlusNormal"/>
        <w:jc w:val="right"/>
      </w:pPr>
      <w:r>
        <w:t>М.МИШУСТИН</w:t>
      </w: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jc w:val="right"/>
        <w:outlineLvl w:val="0"/>
      </w:pPr>
      <w:r>
        <w:t>Утверждены</w:t>
      </w:r>
    </w:p>
    <w:p w:rsidR="00BD572D" w:rsidRDefault="00BD572D">
      <w:pPr>
        <w:pStyle w:val="ConsPlusNormal"/>
        <w:jc w:val="right"/>
      </w:pPr>
      <w:r>
        <w:t>постановлением Правительства</w:t>
      </w:r>
    </w:p>
    <w:p w:rsidR="00BD572D" w:rsidRDefault="00BD572D">
      <w:pPr>
        <w:pStyle w:val="ConsPlusNormal"/>
        <w:jc w:val="right"/>
      </w:pPr>
      <w:r>
        <w:t>Российской Федерации</w:t>
      </w:r>
    </w:p>
    <w:p w:rsidR="00BD572D" w:rsidRDefault="00BD572D">
      <w:pPr>
        <w:pStyle w:val="ConsPlusNormal"/>
        <w:jc w:val="right"/>
      </w:pPr>
      <w:r>
        <w:lastRenderedPageBreak/>
        <w:t>от 23 декабря 2024 г. N 1873</w:t>
      </w:r>
    </w:p>
    <w:p w:rsidR="00BD572D" w:rsidRDefault="00BD572D">
      <w:pPr>
        <w:pStyle w:val="ConsPlusNormal"/>
        <w:jc w:val="center"/>
      </w:pPr>
    </w:p>
    <w:p w:rsidR="00BD572D" w:rsidRDefault="00BD572D">
      <w:pPr>
        <w:pStyle w:val="ConsPlusTitle"/>
        <w:jc w:val="center"/>
      </w:pPr>
      <w:bookmarkStart w:id="0" w:name="P33"/>
      <w:bookmarkEnd w:id="0"/>
      <w:r>
        <w:t>ПРАВИЛА</w:t>
      </w:r>
    </w:p>
    <w:p w:rsidR="00BD572D" w:rsidRDefault="00BD572D">
      <w:pPr>
        <w:pStyle w:val="ConsPlusTitle"/>
        <w:jc w:val="center"/>
      </w:pPr>
      <w:r>
        <w:t>ОПРЕДЕЛЕНИЯ СРЕДНЕДУШЕВОГО ДОХОДА ДЛЯ ПРЕДОСТАВЛЕНИЯ</w:t>
      </w:r>
    </w:p>
    <w:p w:rsidR="00BD572D" w:rsidRDefault="00BD572D">
      <w:pPr>
        <w:pStyle w:val="ConsPlusTitle"/>
        <w:jc w:val="center"/>
      </w:pPr>
      <w:r>
        <w:t>СОЦИАЛЬНЫХ УСЛУГ БЕСПЛАТНО</w:t>
      </w:r>
    </w:p>
    <w:p w:rsidR="00BD572D" w:rsidRDefault="00BD572D">
      <w:pPr>
        <w:pStyle w:val="ConsPlusNormal"/>
        <w:ind w:firstLine="540"/>
        <w:jc w:val="both"/>
      </w:pPr>
    </w:p>
    <w:p w:rsidR="00BD572D" w:rsidRDefault="00BD572D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2. Расчет среднедушевого дохода получателя социальных услуг, за исключением лиц, указанных в </w:t>
      </w:r>
      <w:hyperlink r:id="rId11">
        <w:r>
          <w:rPr>
            <w:color w:val="0000FF"/>
          </w:rPr>
          <w:t>частях 1</w:t>
        </w:r>
      </w:hyperlink>
      <w:r>
        <w:t xml:space="preserve"> и </w:t>
      </w:r>
      <w:hyperlink r:id="rId12">
        <w:r>
          <w:rPr>
            <w:color w:val="0000FF"/>
          </w:rPr>
          <w:t>3 статьи 31</w:t>
        </w:r>
      </w:hyperlink>
      <w:r>
        <w:t xml:space="preserve"> Федерального закона "Об основах социального обслуживания 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и производится: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органом государственной власти субъекта Российской Федерации, уполномоченным на осуществление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поставщиком социальных услуг в отношении заявителя на дату изменения прожиточного минимума, установленного в соответствующем субъекте Российской Федерации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4. В целях настоящих Правил: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б) 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5. При расчете среднедушевого дохода в состав семьи не включаются: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</w:t>
      </w:r>
      <w:r>
        <w:lastRenderedPageBreak/>
        <w:t>военной службы;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в) лица, отбывающие наказание в виде лишения свободы;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г) лица, находящиеся на принудительном лечении по решению суда;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д) лица, в отношении которых применена мера пресечения в виде заключения под стражу;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е) лица, признанные безвестно отсутствующими или объявленные умершими;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ж) лица, находящиеся в розыске;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6. При расчете среднедушевого дохода учитываются следующие доходы, полученные в денежной форме: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г) сумма полученных алиментов;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д)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</w:t>
      </w:r>
      <w:r>
        <w:lastRenderedPageBreak/>
        <w:t>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и) доходы в виде процентов по вкладам (остаткам на счетах) в банках;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л) доходы от реализации и сдачи в аренду (наем, поднаем) имущества;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н) доходы, полученные в рамках применения специального налогового режима "Налог на профессиональный доход";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о) ежемесячное пожизненное содержание судей, вышедших в отставку;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р) доход, полученный заявителем или членами его семьи за пределами Российской Федерации;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7. При расчете среднедушевого дохода не учитываются: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в) ежемесячные денежные выплаты лицам, осуществляющим уход за ребенком-инвалидом в </w:t>
      </w:r>
      <w:r>
        <w:lastRenderedPageBreak/>
        <w:t xml:space="preserve">возрасте до 18 лет или инвалидом с детства I группы, предусмотренные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д) государственная социальная помощь на основании социального контракта;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е) денежные средства на приобретение недвижимого имущества, автотранспортного, </w:t>
      </w:r>
      <w:proofErr w:type="spellStart"/>
      <w:r>
        <w:t>мототранспортного</w:t>
      </w:r>
      <w:proofErr w:type="spellEnd"/>
      <w:r>
        <w:t xml:space="preserve">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ж) средства материнского (семейного) капитала, предусмотренного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и) социальное пособие на погребение, установленное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погребении и похоронном деле";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абилитации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Федерации";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8. Доходы, полученные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9. Доходы учитываются до вычета налогов и сборов в соответствии с законодательством Российской Федерации.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 xml:space="preserve">10. Сумма заработной платы, включая выплаты компенсационного и стимулирующего </w:t>
      </w:r>
      <w:r>
        <w:lastRenderedPageBreak/>
        <w:t>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p w:rsidR="00BD572D" w:rsidRDefault="00BD572D">
      <w:pPr>
        <w:pStyle w:val="ConsPlusNormal"/>
        <w:spacing w:before="220"/>
        <w:ind w:firstLine="540"/>
        <w:jc w:val="both"/>
      </w:pPr>
      <w: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:rsidR="00BD572D" w:rsidRDefault="00BD572D">
      <w:pPr>
        <w:pStyle w:val="ConsPlusNormal"/>
        <w:jc w:val="both"/>
      </w:pPr>
    </w:p>
    <w:p w:rsidR="00BD572D" w:rsidRDefault="00BD572D">
      <w:pPr>
        <w:pStyle w:val="ConsPlusNormal"/>
        <w:jc w:val="both"/>
      </w:pPr>
    </w:p>
    <w:p w:rsidR="00BD572D" w:rsidRDefault="00BD5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>
      <w:bookmarkStart w:id="1" w:name="_GoBack"/>
      <w:bookmarkEnd w:id="1"/>
    </w:p>
    <w:sectPr w:rsidR="0091695F" w:rsidSect="00BD57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2D"/>
    <w:rsid w:val="0091695F"/>
    <w:rsid w:val="00BD572D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C91FB-D9EB-4320-A06C-5DEEACA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4349&amp;dst=100326" TargetMode="External"/><Relationship Id="rId13" Type="http://schemas.openxmlformats.org/officeDocument/2006/relationships/hyperlink" Target="https://login.consultant.ru/link/?req=doc&amp;base=RZB&amp;n=494437" TargetMode="External"/><Relationship Id="rId18" Type="http://schemas.openxmlformats.org/officeDocument/2006/relationships/hyperlink" Target="https://login.consultant.ru/link/?req=doc&amp;base=RZB&amp;n=468291&amp;dst=10006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345937" TargetMode="External"/><Relationship Id="rId12" Type="http://schemas.openxmlformats.org/officeDocument/2006/relationships/hyperlink" Target="https://login.consultant.ru/link/?req=doc&amp;base=RZB&amp;n=494437&amp;dst=100330" TargetMode="External"/><Relationship Id="rId17" Type="http://schemas.openxmlformats.org/officeDocument/2006/relationships/hyperlink" Target="https://login.consultant.ru/link/?req=doc&amp;base=RZB&amp;n=494598&amp;dst=100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951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9819" TargetMode="External"/><Relationship Id="rId11" Type="http://schemas.openxmlformats.org/officeDocument/2006/relationships/hyperlink" Target="https://login.consultant.ru/link/?req=doc&amp;base=RZB&amp;n=494437&amp;dst=100326" TargetMode="External"/><Relationship Id="rId5" Type="http://schemas.openxmlformats.org/officeDocument/2006/relationships/hyperlink" Target="https://login.consultant.ru/link/?req=doc&amp;base=RZB&amp;n=494437&amp;dst=100331" TargetMode="External"/><Relationship Id="rId15" Type="http://schemas.openxmlformats.org/officeDocument/2006/relationships/hyperlink" Target="https://login.consultant.ru/link/?req=doc&amp;base=RZB&amp;n=372860" TargetMode="External"/><Relationship Id="rId10" Type="http://schemas.openxmlformats.org/officeDocument/2006/relationships/hyperlink" Target="https://login.consultant.ru/link/?req=doc&amp;base=RZB&amp;n=494437&amp;dst=100331" TargetMode="External"/><Relationship Id="rId19" Type="http://schemas.openxmlformats.org/officeDocument/2006/relationships/hyperlink" Target="https://login.consultant.ru/link/?req=doc&amp;base=RZB&amp;n=489344&amp;dst=1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9767" TargetMode="External"/><Relationship Id="rId14" Type="http://schemas.openxmlformats.org/officeDocument/2006/relationships/hyperlink" Target="https://login.consultant.ru/link/?req=doc&amp;base=RZB&amp;n=494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2025-01-16T13:01:00Z</dcterms:created>
  <dcterms:modified xsi:type="dcterms:W3CDTF">2025-01-16T13:02:00Z</dcterms:modified>
</cp:coreProperties>
</file>